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8508A2" w:rsidRPr="00BC6FE8" w:rsidTr="00397A34">
        <w:tc>
          <w:tcPr>
            <w:tcW w:w="972" w:type="pct"/>
            <w:hideMark/>
          </w:tcPr>
          <w:p w:rsidR="008508A2" w:rsidRPr="00BC6FE8" w:rsidRDefault="008508A2" w:rsidP="00397A34">
            <w:pPr>
              <w:rPr>
                <w:rFonts w:ascii="Calibri" w:hAnsi="Calibri"/>
                <w:noProof/>
              </w:rPr>
            </w:pPr>
            <w:r w:rsidRPr="001D2164">
              <w:rPr>
                <w:rFonts w:ascii="Calibri" w:hAnsi="Calibri"/>
                <w:noProof/>
                <w:lang w:eastAsia="pl-PL"/>
              </w:rPr>
              <w:drawing>
                <wp:inline distT="0" distB="0" distL="0" distR="0" wp14:anchorId="5F1DF287" wp14:editId="1AEDFC30">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rsidR="008508A2" w:rsidRPr="00BC6FE8" w:rsidRDefault="008508A2" w:rsidP="00397A34">
            <w:pPr>
              <w:ind w:left="-77" w:right="2"/>
              <w:jc w:val="center"/>
              <w:rPr>
                <w:rFonts w:ascii="Calibri" w:hAnsi="Calibri"/>
                <w:noProof/>
              </w:rPr>
            </w:pPr>
            <w:r w:rsidRPr="001D2164">
              <w:rPr>
                <w:rFonts w:ascii="Calibri" w:hAnsi="Calibri"/>
                <w:noProof/>
                <w:lang w:eastAsia="pl-PL"/>
              </w:rPr>
              <w:drawing>
                <wp:inline distT="0" distB="0" distL="0" distR="0" wp14:anchorId="36F07A6E" wp14:editId="4295A241">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rsidR="008508A2" w:rsidRPr="00BC6FE8" w:rsidRDefault="008508A2" w:rsidP="00397A34">
            <w:pPr>
              <w:ind w:right="25"/>
              <w:jc w:val="center"/>
              <w:rPr>
                <w:rFonts w:ascii="Calibri" w:hAnsi="Calibri"/>
                <w:noProof/>
              </w:rPr>
            </w:pPr>
            <w:r w:rsidRPr="001D2164">
              <w:rPr>
                <w:rFonts w:ascii="Calibri" w:hAnsi="Calibri"/>
                <w:noProof/>
                <w:lang w:eastAsia="pl-PL"/>
              </w:rPr>
              <w:drawing>
                <wp:inline distT="0" distB="0" distL="0" distR="0" wp14:anchorId="017E7EB8" wp14:editId="6CD009EB">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rsidR="008508A2" w:rsidRPr="00BC6FE8" w:rsidRDefault="008508A2" w:rsidP="00397A34">
            <w:pPr>
              <w:jc w:val="right"/>
              <w:rPr>
                <w:rFonts w:ascii="Calibri" w:hAnsi="Calibri"/>
                <w:noProof/>
              </w:rPr>
            </w:pPr>
            <w:r w:rsidRPr="001D2164">
              <w:rPr>
                <w:rFonts w:ascii="Calibri" w:hAnsi="Calibri"/>
                <w:noProof/>
                <w:lang w:eastAsia="pl-PL"/>
              </w:rPr>
              <w:drawing>
                <wp:inline distT="0" distB="0" distL="0" distR="0" wp14:anchorId="04197B9B" wp14:editId="60A7924B">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A310A4" w:rsidRDefault="00A310A4" w:rsidP="008B6F56">
      <w:pPr>
        <w:jc w:val="center"/>
        <w:rPr>
          <w:b/>
          <w:sz w:val="28"/>
          <w:szCs w:val="28"/>
        </w:rPr>
      </w:pPr>
    </w:p>
    <w:p w:rsidR="0054535D" w:rsidRDefault="00357B30" w:rsidP="008B6F56">
      <w:pPr>
        <w:jc w:val="center"/>
        <w:rPr>
          <w:b/>
          <w:sz w:val="28"/>
          <w:szCs w:val="28"/>
        </w:rPr>
      </w:pPr>
      <w:r w:rsidRPr="00845335">
        <w:rPr>
          <w:b/>
          <w:sz w:val="28"/>
          <w:szCs w:val="28"/>
        </w:rPr>
        <w:t>SPECYFIKACJA ISTOTNYCH WARUNKÓW ZAMÓWIENIA</w:t>
      </w:r>
      <w:r w:rsidR="00350EAD">
        <w:rPr>
          <w:b/>
          <w:sz w:val="28"/>
          <w:szCs w:val="28"/>
        </w:rPr>
        <w:t xml:space="preserve"> – </w:t>
      </w:r>
      <w:r w:rsidR="00905692">
        <w:rPr>
          <w:b/>
          <w:sz w:val="28"/>
          <w:szCs w:val="28"/>
        </w:rPr>
        <w:t>USG</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F3683A" w:rsidRPr="008508A2" w:rsidRDefault="00B259EA" w:rsidP="008B6F56">
      <w:pPr>
        <w:pStyle w:val="Akapitzlist"/>
        <w:jc w:val="both"/>
        <w:rPr>
          <w:b/>
        </w:rPr>
      </w:pPr>
      <w:r>
        <w:t xml:space="preserve">Przedmiotem zamówienia jest </w:t>
      </w:r>
      <w:r w:rsidR="008508A2" w:rsidRPr="008508A2">
        <w:rPr>
          <w:rFonts w:cstheme="minorHAnsi"/>
          <w:b/>
        </w:rPr>
        <w:t xml:space="preserve">zakup i dostawa </w:t>
      </w:r>
      <w:r w:rsidR="008508A2">
        <w:rPr>
          <w:rFonts w:cstheme="minorHAnsi"/>
          <w:b/>
        </w:rPr>
        <w:t xml:space="preserve">sprzętu </w:t>
      </w:r>
      <w:r w:rsidR="008508A2" w:rsidRPr="008508A2">
        <w:rPr>
          <w:rStyle w:val="Teksttreci"/>
          <w:rFonts w:asciiTheme="minorHAnsi" w:hAnsiTheme="minorHAnsi" w:cstheme="minorHAnsi"/>
          <w:b/>
          <w:color w:val="000000"/>
          <w:sz w:val="22"/>
          <w:lang w:eastAsia="pl-PL"/>
        </w:rPr>
        <w:t>wspierającego zabezpieczenie przed COVID-19</w:t>
      </w:r>
      <w:r w:rsidR="008508A2">
        <w:rPr>
          <w:rStyle w:val="Teksttreci"/>
          <w:rFonts w:asciiTheme="minorHAnsi" w:hAnsiTheme="minorHAnsi" w:cstheme="minorHAnsi"/>
          <w:b/>
          <w:color w:val="000000"/>
          <w:sz w:val="22"/>
          <w:lang w:eastAsia="pl-PL"/>
        </w:rPr>
        <w:t xml:space="preserve"> – </w:t>
      </w:r>
      <w:r w:rsidR="00905692">
        <w:rPr>
          <w:rStyle w:val="Teksttreci"/>
          <w:rFonts w:asciiTheme="minorHAnsi" w:hAnsiTheme="minorHAnsi" w:cstheme="minorHAnsi"/>
          <w:b/>
          <w:color w:val="000000"/>
          <w:sz w:val="22"/>
          <w:lang w:eastAsia="pl-PL"/>
        </w:rPr>
        <w:t xml:space="preserve">USG </w:t>
      </w:r>
      <w:r w:rsidR="004A35B1">
        <w:rPr>
          <w:rStyle w:val="Teksttreci"/>
          <w:rFonts w:asciiTheme="minorHAnsi" w:hAnsiTheme="minorHAnsi" w:cstheme="minorHAnsi"/>
          <w:b/>
          <w:color w:val="000000"/>
          <w:sz w:val="22"/>
          <w:lang w:eastAsia="pl-PL"/>
        </w:rPr>
        <w:t xml:space="preserve">- </w:t>
      </w:r>
      <w:r w:rsidR="00905692">
        <w:rPr>
          <w:rStyle w:val="Teksttreci"/>
          <w:rFonts w:asciiTheme="minorHAnsi" w:hAnsiTheme="minorHAnsi" w:cstheme="minorHAnsi"/>
          <w:b/>
          <w:color w:val="000000"/>
          <w:sz w:val="22"/>
          <w:lang w:eastAsia="pl-PL"/>
        </w:rPr>
        <w:t xml:space="preserve">1 </w:t>
      </w:r>
      <w:proofErr w:type="spellStart"/>
      <w:r w:rsidR="00905692">
        <w:rPr>
          <w:rStyle w:val="Teksttreci"/>
          <w:rFonts w:asciiTheme="minorHAnsi" w:hAnsiTheme="minorHAnsi" w:cstheme="minorHAnsi"/>
          <w:b/>
          <w:color w:val="000000"/>
          <w:sz w:val="22"/>
          <w:lang w:eastAsia="pl-PL"/>
        </w:rPr>
        <w:t>kpl</w:t>
      </w:r>
      <w:proofErr w:type="spellEnd"/>
      <w:r w:rsidR="00905692">
        <w:rPr>
          <w:rStyle w:val="Teksttreci"/>
          <w:rFonts w:asciiTheme="minorHAnsi" w:hAnsiTheme="minorHAnsi" w:cstheme="minorHAnsi"/>
          <w:b/>
          <w:color w:val="000000"/>
          <w:sz w:val="22"/>
          <w:lang w:eastAsia="pl-PL"/>
        </w:rPr>
        <w:t>.</w:t>
      </w:r>
    </w:p>
    <w:p w:rsidR="00445839" w:rsidRDefault="00BF29F6" w:rsidP="008B6F56">
      <w:pPr>
        <w:pStyle w:val="Akapitzlist"/>
        <w:jc w:val="both"/>
        <w:rPr>
          <w:b/>
          <w:i/>
        </w:rPr>
      </w:pPr>
      <w:r w:rsidRPr="00BF29F6">
        <w:rPr>
          <w:b/>
          <w:i/>
        </w:rPr>
        <w:t>Zamówienie obejmuje również instalację sprzętu. Parametry techniczne - załącznik nr 5 do SIWZ.</w:t>
      </w:r>
    </w:p>
    <w:p w:rsidR="00BF29F6" w:rsidRPr="00BF29F6" w:rsidRDefault="00BF29F6" w:rsidP="008B6F56">
      <w:pPr>
        <w:pStyle w:val="Akapitzlist"/>
        <w:jc w:val="both"/>
        <w:rPr>
          <w:b/>
          <w:i/>
        </w:rPr>
      </w:pPr>
    </w:p>
    <w:p w:rsidR="006F161C" w:rsidRPr="00FD33D2" w:rsidRDefault="006F161C" w:rsidP="006F161C">
      <w:pPr>
        <w:pStyle w:val="Akapitzlist"/>
        <w:jc w:val="both"/>
        <w:rPr>
          <w:b/>
        </w:rPr>
      </w:pPr>
      <w:r w:rsidRPr="00FD33D2">
        <w:rPr>
          <w:b/>
        </w:rPr>
        <w:t>Wspólny słownik KOD CPV</w:t>
      </w:r>
    </w:p>
    <w:p w:rsidR="00905692" w:rsidRPr="00905692" w:rsidRDefault="00905692" w:rsidP="00905692">
      <w:pPr>
        <w:pStyle w:val="Nagwek1"/>
        <w:ind w:firstLine="708"/>
        <w:rPr>
          <w:rFonts w:asciiTheme="minorHAnsi" w:hAnsiTheme="minorHAnsi" w:cstheme="minorHAnsi"/>
          <w:b/>
          <w:color w:val="auto"/>
          <w:sz w:val="22"/>
          <w:szCs w:val="22"/>
        </w:rPr>
      </w:pPr>
      <w:hyperlink r:id="rId12" w:history="1">
        <w:r w:rsidRPr="0013583F">
          <w:rPr>
            <w:rStyle w:val="Hipercze"/>
            <w:rFonts w:asciiTheme="minorHAnsi" w:hAnsiTheme="minorHAnsi" w:cstheme="minorHAnsi"/>
            <w:b/>
            <w:color w:val="auto"/>
            <w:sz w:val="22"/>
            <w:szCs w:val="22"/>
          </w:rPr>
          <w:t>33112200-0</w:t>
        </w:r>
      </w:hyperlink>
      <w:r w:rsidRPr="00905692">
        <w:rPr>
          <w:rFonts w:asciiTheme="minorHAnsi" w:hAnsiTheme="minorHAnsi" w:cstheme="minorHAnsi"/>
          <w:b/>
          <w:color w:val="auto"/>
          <w:sz w:val="22"/>
          <w:szCs w:val="22"/>
        </w:rPr>
        <w:t xml:space="preserve"> </w:t>
      </w:r>
      <w:r w:rsidR="006F161C" w:rsidRPr="00905692">
        <w:rPr>
          <w:rFonts w:asciiTheme="minorHAnsi" w:hAnsiTheme="minorHAnsi" w:cstheme="minorHAnsi"/>
          <w:b/>
          <w:color w:val="auto"/>
          <w:sz w:val="22"/>
          <w:szCs w:val="22"/>
        </w:rPr>
        <w:t xml:space="preserve">– </w:t>
      </w:r>
      <w:r w:rsidRPr="00905692">
        <w:rPr>
          <w:rFonts w:asciiTheme="minorHAnsi" w:hAnsiTheme="minorHAnsi" w:cstheme="minorHAnsi"/>
          <w:b/>
          <w:color w:val="auto"/>
          <w:sz w:val="22"/>
          <w:szCs w:val="22"/>
        </w:rPr>
        <w:t xml:space="preserve">Aparaty ultrasonograficzne </w:t>
      </w:r>
    </w:p>
    <w:p w:rsidR="00691518" w:rsidRDefault="00691518" w:rsidP="00905692">
      <w:pPr>
        <w:spacing w:after="0"/>
        <w:jc w:val="both"/>
      </w:pPr>
      <w:bookmarkStart w:id="0" w:name="_GoBack"/>
      <w:bookmarkEnd w:id="0"/>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A310A4" w:rsidRDefault="00A310A4" w:rsidP="00A310A4">
      <w:pPr>
        <w:pStyle w:val="Akapitzlist"/>
        <w:numPr>
          <w:ilvl w:val="0"/>
          <w:numId w:val="1"/>
        </w:numPr>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Pr>
          <w:rFonts w:cstheme="minorHAnsi"/>
        </w:rPr>
        <w:t xml:space="preserve">ata 2014-2020, Oś Priorytetowa 9 </w:t>
      </w:r>
      <w:r w:rsidRPr="00445839">
        <w:rPr>
          <w:rFonts w:cstheme="minorHAnsi"/>
        </w:rPr>
        <w:t xml:space="preserve"> ,,</w:t>
      </w:r>
      <w:r>
        <w:rPr>
          <w:rFonts w:cstheme="minorHAnsi"/>
        </w:rPr>
        <w:t xml:space="preserve">Włączenie społeczne i walka z ubóstwem", Działanie 9.2. </w:t>
      </w:r>
      <w:r w:rsidRPr="00445839">
        <w:rPr>
          <w:rFonts w:cstheme="minorHAnsi"/>
        </w:rPr>
        <w:t>,,</w:t>
      </w:r>
      <w:r>
        <w:rPr>
          <w:rFonts w:cstheme="minorHAnsi"/>
        </w:rPr>
        <w:t>Ułatwienie dostępu do wysokiej jakości usług społecznych i zdrowotnych</w:t>
      </w:r>
      <w:r w:rsidRPr="00445839">
        <w:rPr>
          <w:rFonts w:cstheme="minorHAnsi"/>
        </w:rPr>
        <w:t xml:space="preserve">” w ramach projektu pn.” </w:t>
      </w:r>
      <w:r w:rsidRPr="00445839">
        <w:rPr>
          <w:rFonts w:cstheme="minorHAnsi"/>
          <w:b/>
          <w:i/>
        </w:rPr>
        <w:t>„</w:t>
      </w:r>
      <w:r>
        <w:rPr>
          <w:rFonts w:cstheme="minorHAnsi"/>
          <w:i/>
        </w:rPr>
        <w:t>Powiat Pińczowski – bezpieczny w epidemii</w:t>
      </w:r>
      <w:r w:rsidRPr="00445839">
        <w:rPr>
          <w:rFonts w:cstheme="minorHAnsi"/>
          <w:i/>
        </w:rPr>
        <w:t xml:space="preserve">” </w:t>
      </w:r>
      <w:r w:rsidRPr="00445839">
        <w:rPr>
          <w:rFonts w:cstheme="minorHAnsi"/>
        </w:rPr>
        <w:t>objętego umową nr RPSW.</w:t>
      </w:r>
      <w:r>
        <w:rPr>
          <w:rFonts w:cstheme="minorHAnsi"/>
        </w:rPr>
        <w:t>09.02.03-26-0013/20-00</w:t>
      </w:r>
    </w:p>
    <w:p w:rsidR="00A310A4" w:rsidRPr="006A366E" w:rsidRDefault="00A310A4" w:rsidP="00A310A4">
      <w:pPr>
        <w:pStyle w:val="Akapitzlist"/>
        <w:spacing w:after="0"/>
        <w:jc w:val="both"/>
        <w:rPr>
          <w:rFonts w:cstheme="minorHAnsi"/>
        </w:rPr>
      </w:pP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EA715C" w:rsidRDefault="0023081D" w:rsidP="00D34B82">
      <w:pPr>
        <w:pStyle w:val="Akapitzlist"/>
        <w:numPr>
          <w:ilvl w:val="1"/>
          <w:numId w:val="1"/>
        </w:numPr>
        <w:spacing w:after="0"/>
      </w:pPr>
      <w:r>
        <w:t>Wymagany t</w:t>
      </w:r>
      <w:r w:rsidR="0071737C">
        <w:t xml:space="preserve">ermin realizacji zamówienia </w:t>
      </w:r>
      <w:r w:rsidR="00E45E8E">
        <w:t>maksymalny do 25</w:t>
      </w:r>
      <w:r w:rsidR="00EA715C">
        <w:t xml:space="preserve"> listopada 2020.</w:t>
      </w:r>
    </w:p>
    <w:p w:rsidR="0023081D" w:rsidRDefault="0023081D" w:rsidP="00D34B82">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7479E3" w:rsidRDefault="0023081D" w:rsidP="0023081D">
      <w:pPr>
        <w:pStyle w:val="Akapitzlist"/>
        <w:numPr>
          <w:ilvl w:val="1"/>
          <w:numId w:val="1"/>
        </w:numPr>
        <w:spacing w:after="0"/>
        <w:rPr>
          <w:u w:val="single"/>
        </w:rPr>
      </w:pPr>
      <w:r w:rsidRPr="007479E3">
        <w:rPr>
          <w:u w:val="single"/>
        </w:rPr>
        <w:t>Zamawiający wymaga maksymalnie 48 godzinnego(pełne godziny) czasu reakcji serwisu (fizyczne stawienie się serwisanta w miejscu zainstalowania sprzętu i podjęcie czynności zmierzających do naprawy sprzętu) licząc od momentu zgłoszenia awarii.</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lastRenderedPageBreak/>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 xml:space="preserve">Oferowane wyposażenie musi być fabrycznie nowe (bez śladów użytkowania), aktualnie wyprodukowane na rynku (rok </w:t>
      </w:r>
      <w:r w:rsidR="00EA715C">
        <w:t>produkcji nie wcześniej niż 2019</w:t>
      </w:r>
      <w:r>
        <w:t>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lastRenderedPageBreak/>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t>Kompetencji i uprawnień do prowadzenia działalności zawodowej, o ile wynika to z odrębnych przepisów;</w:t>
      </w:r>
    </w:p>
    <w:p w:rsidR="0023081D" w:rsidRDefault="0023081D" w:rsidP="0023081D">
      <w:pPr>
        <w:pStyle w:val="Akapitzlist"/>
        <w:spacing w:after="0"/>
        <w:ind w:left="1800"/>
        <w:jc w:val="both"/>
      </w:pPr>
      <w:r>
        <w:lastRenderedPageBreak/>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lastRenderedPageBreak/>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t xml:space="preserve">Zamawiający nie wymaga aby Wykonawca składał dokumenty lub oświadczenia o braku podstaw do wykluczenia odnoszące się do podwykonawcy lub oświadczenia </w:t>
      </w:r>
      <w:r>
        <w:lastRenderedPageBreak/>
        <w:t>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151E6E" w:rsidRPr="0023081D" w:rsidRDefault="0023081D" w:rsidP="00691518">
      <w:pPr>
        <w:pStyle w:val="Akapitzlist"/>
        <w:numPr>
          <w:ilvl w:val="0"/>
          <w:numId w:val="1"/>
        </w:numPr>
        <w:spacing w:after="0"/>
        <w:jc w:val="both"/>
      </w:pPr>
      <w:r>
        <w:rPr>
          <w:b/>
        </w:rPr>
        <w:t xml:space="preserve">Zamawiający </w:t>
      </w:r>
      <w:r w:rsidR="00691518">
        <w:rPr>
          <w:b/>
        </w:rPr>
        <w:t xml:space="preserve">nie </w:t>
      </w:r>
      <w:r w:rsidRPr="00845335">
        <w:rPr>
          <w:b/>
        </w:rPr>
        <w:t>dopusz</w:t>
      </w:r>
      <w:r w:rsidR="00691518">
        <w:rPr>
          <w:b/>
        </w:rPr>
        <w:t>cza składania ofert częściowych.</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w:t>
      </w:r>
      <w:r w:rsidR="00A81A25">
        <w:t>dzielnej kopercie oznaczonej: „</w:t>
      </w:r>
      <w:r>
        <w:t>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lastRenderedPageBreak/>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EA715C" w:rsidP="0023081D">
      <w:pPr>
        <w:pStyle w:val="Akapitzlist"/>
        <w:spacing w:after="0"/>
        <w:ind w:left="1080"/>
        <w:jc w:val="both"/>
      </w:pPr>
      <w:r>
        <w:t>Monika Strojna</w:t>
      </w:r>
      <w:r w:rsidR="0023081D">
        <w:t xml:space="preserve"> – </w:t>
      </w:r>
      <w:r>
        <w:t>koordynator Projektu, tel. 41 35 760 01 wew. 241</w:t>
      </w:r>
      <w:r w:rsidR="00B7351A">
        <w:t xml:space="preserve">; </w:t>
      </w:r>
      <w:r>
        <w:br/>
      </w:r>
      <w:r w:rsidR="00B7351A">
        <w:t xml:space="preserve">e-mail: </w:t>
      </w:r>
      <w:r>
        <w:t>inwestycje</w:t>
      </w:r>
      <w:r w:rsidR="00B7351A">
        <w:t>@pinczow.pl</w:t>
      </w:r>
    </w:p>
    <w:p w:rsidR="0023081D" w:rsidRDefault="0023081D" w:rsidP="0023081D">
      <w:pPr>
        <w:pStyle w:val="Akapitzlist"/>
        <w:numPr>
          <w:ilvl w:val="1"/>
          <w:numId w:val="1"/>
        </w:numPr>
        <w:spacing w:after="0"/>
        <w:jc w:val="both"/>
      </w:pPr>
      <w:r>
        <w:t>Dodatkowe informacje dotyczące zamó</w:t>
      </w:r>
      <w:r w:rsidR="00444F82">
        <w:t>wienia można otrzymać w godz. o</w:t>
      </w:r>
      <w:r>
        <w:t xml:space="preserve">d 8:00 do 15:00 </w:t>
      </w:r>
      <w:r w:rsidR="00EA715C">
        <w:t xml:space="preserve">telefonicznie. </w:t>
      </w:r>
      <w:r>
        <w:t>Zamawiający i prowadzący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EA715C" w:rsidP="00691518">
      <w:pPr>
        <w:pStyle w:val="Akapitzlist"/>
        <w:numPr>
          <w:ilvl w:val="1"/>
          <w:numId w:val="1"/>
        </w:numPr>
        <w:spacing w:after="0"/>
        <w:jc w:val="both"/>
      </w:pPr>
      <w:r>
        <w:t>Zamawiający nie wymaga wadium.</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Default="0023081D" w:rsidP="0023081D">
      <w:pPr>
        <w:pStyle w:val="Akapitzlist"/>
        <w:numPr>
          <w:ilvl w:val="1"/>
          <w:numId w:val="1"/>
        </w:numPr>
        <w:spacing w:after="0"/>
        <w:jc w:val="both"/>
      </w:pPr>
      <w:r>
        <w:t>Oferta musi być sporządzona w języku polskim w formie pisemnej pod rygorem nieważności.</w:t>
      </w:r>
    </w:p>
    <w:p w:rsidR="0023081D" w:rsidRDefault="0023081D" w:rsidP="0023081D">
      <w:pPr>
        <w:pStyle w:val="Akapitzlist"/>
        <w:numPr>
          <w:ilvl w:val="1"/>
          <w:numId w:val="1"/>
        </w:numPr>
        <w:spacing w:after="0"/>
        <w:jc w:val="both"/>
      </w:pPr>
      <w:r>
        <w:lastRenderedPageBreak/>
        <w:t>W ofercie należy  określić przedmiot zamówienia</w:t>
      </w:r>
      <w:r w:rsidRPr="00C01687">
        <w:t xml:space="preserve"> – tj. nazwę producenta i model oferowanych urządzeń w </w:t>
      </w:r>
      <w:r w:rsidRPr="007479E3">
        <w:t xml:space="preserve">zakresie pozycji 1÷14 z zadania 1 a </w:t>
      </w:r>
      <w:r w:rsidRPr="00C01687">
        <w:t xml:space="preserve">także cenę, okres gwarancji i rękojmi , zgodny z wymaganiami określonymi w formularzu ofertowym </w:t>
      </w:r>
      <w:r>
        <w:t>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EA715C" w:rsidP="00820F1B">
      <w:pPr>
        <w:pStyle w:val="Akapitzlist"/>
        <w:spacing w:after="0"/>
        <w:ind w:left="1080" w:hanging="1080"/>
        <w:jc w:val="center"/>
        <w:rPr>
          <w:b/>
        </w:rPr>
      </w:pPr>
      <w:r>
        <w:rPr>
          <w:b/>
        </w:rPr>
        <w:t xml:space="preserve">Zakup i dostawa </w:t>
      </w:r>
      <w:r w:rsidR="00905692">
        <w:rPr>
          <w:b/>
        </w:rPr>
        <w:t>USG</w:t>
      </w:r>
      <w:r>
        <w:rPr>
          <w:b/>
        </w:rPr>
        <w:t>.</w:t>
      </w:r>
    </w:p>
    <w:p w:rsidR="0023081D" w:rsidRDefault="0023081D" w:rsidP="0023081D">
      <w:pPr>
        <w:pStyle w:val="Akapitzlist"/>
        <w:spacing w:after="0"/>
        <w:ind w:left="1080"/>
        <w:jc w:val="center"/>
        <w:rPr>
          <w:b/>
        </w:rPr>
      </w:pPr>
      <w:r>
        <w:rPr>
          <w:b/>
        </w:rPr>
        <w:t xml:space="preserve">„Nie otwierać przed </w:t>
      </w:r>
      <w:r w:rsidR="00905692">
        <w:rPr>
          <w:b/>
        </w:rPr>
        <w:t>20</w:t>
      </w:r>
      <w:r w:rsidR="00EA715C">
        <w:rPr>
          <w:b/>
        </w:rPr>
        <w:t>.10</w:t>
      </w:r>
      <w:r w:rsidR="00691518">
        <w:rPr>
          <w:b/>
        </w:rPr>
        <w:t>.</w:t>
      </w:r>
      <w:r w:rsidR="004A35B1">
        <w:rPr>
          <w:b/>
        </w:rPr>
        <w:t>2020 Godz. 8.45</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905692">
        <w:t>20</w:t>
      </w:r>
      <w:r w:rsidR="00EA715C">
        <w:t>.10.2020</w:t>
      </w:r>
      <w:r>
        <w:t xml:space="preserve"> do godz. </w:t>
      </w:r>
      <w:r w:rsidR="004A35B1">
        <w:t>8.30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4A35B1">
        <w:t>20</w:t>
      </w:r>
      <w:r w:rsidR="005D310C">
        <w:t>.10.2020</w:t>
      </w:r>
      <w:r w:rsidR="007E76E9">
        <w:t xml:space="preserve"> </w:t>
      </w:r>
      <w:r>
        <w:t xml:space="preserve">godz. </w:t>
      </w:r>
      <w:r w:rsidR="004A35B1">
        <w:t>8.45</w:t>
      </w:r>
      <w:r w:rsidR="005D310C">
        <w:t>.</w:t>
      </w:r>
    </w:p>
    <w:p w:rsidR="0023081D" w:rsidRDefault="0023081D" w:rsidP="0023081D">
      <w:pPr>
        <w:pStyle w:val="Akapitzlist"/>
        <w:numPr>
          <w:ilvl w:val="1"/>
          <w:numId w:val="1"/>
        </w:numPr>
        <w:spacing w:after="0"/>
        <w:jc w:val="both"/>
      </w:pPr>
      <w:r>
        <w:t>Wykonawcy mogą uczestniczyć w publicznej sesji otwarcia ofert.</w:t>
      </w:r>
      <w:r w:rsidR="005D310C">
        <w:t xml:space="preserve"> (w czasie epidemii obowiązują dodatkowe obostrzenia – oświadczenie, poddanie się badaniu temp., maseczka, rękawiczki, dezynfekcja)</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23081D" w:rsidP="0023081D">
      <w:pPr>
        <w:pStyle w:val="Akapitzlist"/>
        <w:numPr>
          <w:ilvl w:val="0"/>
          <w:numId w:val="1"/>
        </w:numPr>
        <w:spacing w:after="0"/>
        <w:jc w:val="both"/>
        <w:rPr>
          <w:b/>
        </w:rPr>
      </w:pPr>
      <w:r w:rsidRPr="00783734">
        <w:rPr>
          <w:b/>
        </w:rPr>
        <w:t>Sposób obliczenia ceny ofert</w:t>
      </w:r>
      <w:r>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lastRenderedPageBreak/>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691518" w:rsidRDefault="00691518" w:rsidP="00691518">
      <w:pPr>
        <w:spacing w:after="0"/>
        <w:jc w:val="both"/>
      </w:pPr>
    </w:p>
    <w:p w:rsidR="00691518" w:rsidRDefault="00691518" w:rsidP="00691518">
      <w:pPr>
        <w:spacing w:after="0"/>
        <w:jc w:val="both"/>
      </w:pPr>
    </w:p>
    <w:tbl>
      <w:tblPr>
        <w:tblStyle w:val="Tabela-Siatka"/>
        <w:tblW w:w="8885" w:type="dxa"/>
        <w:tblInd w:w="250" w:type="dxa"/>
        <w:tblLayout w:type="fixed"/>
        <w:tblLook w:val="04A0" w:firstRow="1" w:lastRow="0" w:firstColumn="1" w:lastColumn="0" w:noHBand="0" w:noVBand="1"/>
      </w:tblPr>
      <w:tblGrid>
        <w:gridCol w:w="1276"/>
        <w:gridCol w:w="5245"/>
        <w:gridCol w:w="2364"/>
      </w:tblGrid>
      <w:tr w:rsidR="0023081D" w:rsidTr="005D310C">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5D310C">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5D310C" w:rsidP="00BE142B">
            <w:pPr>
              <w:jc w:val="both"/>
            </w:pPr>
            <w:r>
              <w:t>85%= 85</w:t>
            </w:r>
            <w:r w:rsidR="0023081D">
              <w:t>pkt.</w:t>
            </w:r>
          </w:p>
        </w:tc>
      </w:tr>
      <w:tr w:rsidR="005D310C" w:rsidTr="005D310C">
        <w:tc>
          <w:tcPr>
            <w:tcW w:w="1276" w:type="dxa"/>
          </w:tcPr>
          <w:p w:rsidR="005D310C" w:rsidRDefault="005D310C" w:rsidP="00397A34">
            <w:pPr>
              <w:jc w:val="center"/>
            </w:pPr>
            <w:r>
              <w:t>2</w:t>
            </w:r>
          </w:p>
        </w:tc>
        <w:tc>
          <w:tcPr>
            <w:tcW w:w="5245" w:type="dxa"/>
          </w:tcPr>
          <w:p w:rsidR="005D310C" w:rsidRDefault="005D310C" w:rsidP="005D310C">
            <w:pPr>
              <w:jc w:val="both"/>
            </w:pPr>
            <w:r>
              <w:t>Okres dostawy</w:t>
            </w:r>
          </w:p>
        </w:tc>
        <w:tc>
          <w:tcPr>
            <w:tcW w:w="2364" w:type="dxa"/>
          </w:tcPr>
          <w:p w:rsidR="005D310C" w:rsidRDefault="005D310C" w:rsidP="00397A34">
            <w:pPr>
              <w:jc w:val="both"/>
            </w:pPr>
            <w:r>
              <w:t>10% = 10pkt.</w:t>
            </w:r>
          </w:p>
        </w:tc>
      </w:tr>
      <w:tr w:rsidR="0023081D" w:rsidTr="005D310C">
        <w:tc>
          <w:tcPr>
            <w:tcW w:w="1276" w:type="dxa"/>
          </w:tcPr>
          <w:p w:rsidR="0023081D" w:rsidRDefault="005D310C" w:rsidP="00BE142B">
            <w:pPr>
              <w:jc w:val="center"/>
            </w:pPr>
            <w:r>
              <w:t>3</w:t>
            </w:r>
          </w:p>
        </w:tc>
        <w:tc>
          <w:tcPr>
            <w:tcW w:w="5245" w:type="dxa"/>
          </w:tcPr>
          <w:p w:rsidR="0023081D" w:rsidRDefault="0023081D" w:rsidP="00BE142B">
            <w:pPr>
              <w:jc w:val="both"/>
            </w:pPr>
            <w:r>
              <w:t>Okres rękojmi i gwarancji na przedmiot zamówienia</w:t>
            </w:r>
          </w:p>
        </w:tc>
        <w:tc>
          <w:tcPr>
            <w:tcW w:w="2364" w:type="dxa"/>
          </w:tcPr>
          <w:p w:rsidR="0023081D" w:rsidRDefault="005D310C" w:rsidP="00BE142B">
            <w:pPr>
              <w:jc w:val="both"/>
            </w:pPr>
            <w:r>
              <w:t>5% = 5</w:t>
            </w:r>
            <w:r w:rsidR="0023081D">
              <w:t>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5D310C">
        <w:tc>
          <w:tcPr>
            <w:tcW w:w="480" w:type="dxa"/>
          </w:tcPr>
          <w:p w:rsidR="0023081D" w:rsidRDefault="0023081D" w:rsidP="00BE142B">
            <w:pPr>
              <w:jc w:val="both"/>
            </w:pPr>
          </w:p>
          <w:p w:rsidR="0023081D" w:rsidRDefault="0023081D" w:rsidP="00BE142B">
            <w:pPr>
              <w:jc w:val="both"/>
            </w:pPr>
            <w:r>
              <w:t>Lp.</w:t>
            </w:r>
          </w:p>
        </w:tc>
        <w:tc>
          <w:tcPr>
            <w:tcW w:w="4954" w:type="dxa"/>
          </w:tcPr>
          <w:p w:rsidR="0023081D" w:rsidRDefault="0023081D" w:rsidP="00BE142B">
            <w:pPr>
              <w:jc w:val="both"/>
            </w:pPr>
          </w:p>
          <w:p w:rsidR="0023081D" w:rsidRDefault="0023081D" w:rsidP="00BE142B">
            <w:pPr>
              <w:jc w:val="both"/>
            </w:pPr>
            <w:r>
              <w:t>Kryterium</w:t>
            </w:r>
          </w:p>
        </w:tc>
        <w:tc>
          <w:tcPr>
            <w:tcW w:w="1401" w:type="dxa"/>
          </w:tcPr>
          <w:p w:rsidR="0023081D" w:rsidRDefault="0023081D" w:rsidP="00BE142B">
            <w:pPr>
              <w:jc w:val="both"/>
            </w:pPr>
            <w:r>
              <w:t>Znaczenie procentowe kryterium</w:t>
            </w:r>
          </w:p>
        </w:tc>
        <w:tc>
          <w:tcPr>
            <w:tcW w:w="1983" w:type="dxa"/>
          </w:tcPr>
          <w:p w:rsidR="0023081D" w:rsidRDefault="0023081D" w:rsidP="00BE142B">
            <w:pPr>
              <w:jc w:val="both"/>
            </w:pPr>
            <w:r>
              <w:t>Maksymalna ilość punktów jakie może otrzymać oferta za dane kryterium</w:t>
            </w:r>
          </w:p>
        </w:tc>
      </w:tr>
      <w:tr w:rsidR="0023081D" w:rsidTr="005D310C">
        <w:tc>
          <w:tcPr>
            <w:tcW w:w="480" w:type="dxa"/>
          </w:tcPr>
          <w:p w:rsidR="0023081D" w:rsidRDefault="0023081D" w:rsidP="00BE142B">
            <w:pPr>
              <w:jc w:val="both"/>
            </w:pPr>
            <w:r>
              <w:t>1</w:t>
            </w:r>
          </w:p>
        </w:tc>
        <w:tc>
          <w:tcPr>
            <w:tcW w:w="4954"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01" w:type="dxa"/>
          </w:tcPr>
          <w:p w:rsidR="0023081D" w:rsidRDefault="005D310C" w:rsidP="00BE142B">
            <w:pPr>
              <w:jc w:val="center"/>
            </w:pPr>
            <w:r>
              <w:t>85</w:t>
            </w:r>
            <w:r w:rsidR="0023081D">
              <w:t>%</w:t>
            </w:r>
          </w:p>
        </w:tc>
        <w:tc>
          <w:tcPr>
            <w:tcW w:w="1983" w:type="dxa"/>
          </w:tcPr>
          <w:p w:rsidR="0023081D" w:rsidRDefault="005D310C" w:rsidP="00BE142B">
            <w:pPr>
              <w:jc w:val="center"/>
            </w:pPr>
            <w:r>
              <w:t>85</w:t>
            </w:r>
            <w:r w:rsidR="0023081D">
              <w:t>pkt.</w:t>
            </w:r>
          </w:p>
        </w:tc>
      </w:tr>
      <w:tr w:rsidR="005D310C" w:rsidTr="005D310C">
        <w:tc>
          <w:tcPr>
            <w:tcW w:w="480" w:type="dxa"/>
          </w:tcPr>
          <w:p w:rsidR="005D310C" w:rsidRDefault="005D310C" w:rsidP="00397A34">
            <w:pPr>
              <w:jc w:val="both"/>
            </w:pPr>
            <w:r>
              <w:t xml:space="preserve">2. </w:t>
            </w:r>
          </w:p>
        </w:tc>
        <w:tc>
          <w:tcPr>
            <w:tcW w:w="4954" w:type="dxa"/>
          </w:tcPr>
          <w:p w:rsidR="005D310C" w:rsidRDefault="005D310C" w:rsidP="005D310C">
            <w:pPr>
              <w:jc w:val="both"/>
            </w:pPr>
            <w:r>
              <w:t>Okres dostawy:</w:t>
            </w:r>
          </w:p>
          <w:p w:rsidR="005D310C" w:rsidRDefault="00E45E8E" w:rsidP="00397A34">
            <w:pPr>
              <w:pStyle w:val="Akapitzlist"/>
              <w:numPr>
                <w:ilvl w:val="0"/>
                <w:numId w:val="7"/>
              </w:numPr>
              <w:jc w:val="both"/>
            </w:pPr>
            <w:r>
              <w:t>Do 25.11</w:t>
            </w:r>
            <w:r w:rsidR="005D310C">
              <w:t>.2020r.-  0pkt.</w:t>
            </w:r>
          </w:p>
          <w:p w:rsidR="005D310C" w:rsidRDefault="00E45E8E" w:rsidP="00397A34">
            <w:pPr>
              <w:pStyle w:val="Akapitzlist"/>
              <w:numPr>
                <w:ilvl w:val="0"/>
                <w:numId w:val="7"/>
              </w:numPr>
              <w:jc w:val="both"/>
            </w:pPr>
            <w:r>
              <w:t>Do 21</w:t>
            </w:r>
            <w:r w:rsidR="005D310C">
              <w:t xml:space="preserve"> dni od podpisania umowy – 5pkt.</w:t>
            </w:r>
          </w:p>
          <w:p w:rsidR="005D310C" w:rsidRDefault="005D310C" w:rsidP="00397A34">
            <w:pPr>
              <w:pStyle w:val="Akapitzlist"/>
              <w:numPr>
                <w:ilvl w:val="0"/>
                <w:numId w:val="7"/>
              </w:numPr>
              <w:jc w:val="both"/>
            </w:pPr>
            <w:r>
              <w:t>Do 7 dni od podpisania umowy – 10pkt</w:t>
            </w:r>
          </w:p>
          <w:p w:rsidR="005D310C" w:rsidRDefault="005D310C" w:rsidP="00397A34">
            <w:pPr>
              <w:jc w:val="both"/>
            </w:pPr>
            <w:r>
              <w:t>Informację należy wskazać w formularzu ofertowym</w:t>
            </w:r>
          </w:p>
        </w:tc>
        <w:tc>
          <w:tcPr>
            <w:tcW w:w="1401" w:type="dxa"/>
          </w:tcPr>
          <w:p w:rsidR="005D310C" w:rsidRDefault="005D310C" w:rsidP="005D310C">
            <w:pPr>
              <w:jc w:val="center"/>
            </w:pPr>
            <w:r>
              <w:t>10%</w:t>
            </w:r>
          </w:p>
        </w:tc>
        <w:tc>
          <w:tcPr>
            <w:tcW w:w="1983" w:type="dxa"/>
          </w:tcPr>
          <w:p w:rsidR="005D310C" w:rsidRDefault="005D310C" w:rsidP="00397A34">
            <w:pPr>
              <w:jc w:val="center"/>
            </w:pPr>
            <w:r>
              <w:t>10 pkt.</w:t>
            </w:r>
          </w:p>
        </w:tc>
      </w:tr>
      <w:tr w:rsidR="0023081D" w:rsidTr="005D310C">
        <w:tc>
          <w:tcPr>
            <w:tcW w:w="480" w:type="dxa"/>
          </w:tcPr>
          <w:p w:rsidR="0023081D" w:rsidRDefault="0023081D" w:rsidP="00BE142B">
            <w:pPr>
              <w:jc w:val="both"/>
            </w:pPr>
            <w:r>
              <w:t xml:space="preserve">2. </w:t>
            </w:r>
          </w:p>
        </w:tc>
        <w:tc>
          <w:tcPr>
            <w:tcW w:w="4954"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691518" w:rsidP="0023081D">
            <w:pPr>
              <w:pStyle w:val="Akapitzlist"/>
              <w:numPr>
                <w:ilvl w:val="0"/>
                <w:numId w:val="7"/>
              </w:numPr>
              <w:jc w:val="both"/>
            </w:pPr>
            <w:r>
              <w:t xml:space="preserve">24 </w:t>
            </w:r>
            <w:proofErr w:type="spellStart"/>
            <w:r>
              <w:t>miesięce</w:t>
            </w:r>
            <w:proofErr w:type="spellEnd"/>
            <w:r w:rsidR="0023081D">
              <w:t xml:space="preserve"> wykonawca otrzyma – 0pkt.</w:t>
            </w:r>
          </w:p>
          <w:p w:rsidR="0023081D" w:rsidRDefault="00D025B5" w:rsidP="0023081D">
            <w:pPr>
              <w:pStyle w:val="Akapitzlist"/>
              <w:numPr>
                <w:ilvl w:val="0"/>
                <w:numId w:val="7"/>
              </w:numPr>
              <w:jc w:val="both"/>
            </w:pPr>
            <w:r>
              <w:t>25-36</w:t>
            </w:r>
            <w:r w:rsidR="005D310C">
              <w:t xml:space="preserve"> miesięcy wykonawca otrzyma – 2</w:t>
            </w:r>
            <w:r w:rsidR="0023081D">
              <w:t>pkt.</w:t>
            </w:r>
          </w:p>
          <w:p w:rsidR="0023081D" w:rsidRDefault="00D025B5" w:rsidP="0023081D">
            <w:pPr>
              <w:pStyle w:val="Akapitzlist"/>
              <w:numPr>
                <w:ilvl w:val="0"/>
                <w:numId w:val="7"/>
              </w:numPr>
              <w:jc w:val="both"/>
            </w:pPr>
            <w:r>
              <w:t>37</w:t>
            </w:r>
            <w:r w:rsidR="0023081D">
              <w:t xml:space="preserve"> i więcej miesięcy wykonawca otrzyma – </w:t>
            </w:r>
            <w:r w:rsidR="005D310C">
              <w:t>5</w:t>
            </w:r>
            <w:r w:rsidR="0023081D">
              <w:t xml:space="preserve"> pkt</w:t>
            </w:r>
          </w:p>
          <w:p w:rsidR="0023081D" w:rsidRDefault="0023081D" w:rsidP="00BE142B">
            <w:pPr>
              <w:jc w:val="both"/>
            </w:pPr>
            <w:r>
              <w:t>Informację należy wskazać w formularzu ofertowym</w:t>
            </w:r>
          </w:p>
        </w:tc>
        <w:tc>
          <w:tcPr>
            <w:tcW w:w="1401" w:type="dxa"/>
          </w:tcPr>
          <w:p w:rsidR="0023081D" w:rsidRDefault="005D310C" w:rsidP="00BE142B">
            <w:pPr>
              <w:jc w:val="center"/>
            </w:pPr>
            <w:r>
              <w:t>5</w:t>
            </w:r>
            <w:r w:rsidR="0023081D">
              <w:t>%</w:t>
            </w:r>
          </w:p>
        </w:tc>
        <w:tc>
          <w:tcPr>
            <w:tcW w:w="1983" w:type="dxa"/>
          </w:tcPr>
          <w:p w:rsidR="0023081D" w:rsidRDefault="005D310C" w:rsidP="00BE142B">
            <w:pPr>
              <w:jc w:val="center"/>
            </w:pPr>
            <w:r>
              <w:t>5</w:t>
            </w:r>
            <w:r w:rsidR="0023081D">
              <w:t xml:space="preserve">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lastRenderedPageBreak/>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Pr="00B9215D" w:rsidRDefault="0023081D" w:rsidP="00B9215D">
      <w:pPr>
        <w:pStyle w:val="Akapitzlist"/>
        <w:jc w:val="both"/>
        <w:rPr>
          <w:rFonts w:cstheme="minorHAnsi"/>
          <w:b/>
          <w:color w:val="000000"/>
          <w:lang w:eastAsia="pl-PL"/>
        </w:rPr>
      </w:pPr>
      <w:r w:rsidRPr="00250C14">
        <w:rPr>
          <w:lang w:bidi="pl-PL"/>
        </w:rPr>
        <w:t>Pani/Pana dane osobowe przetwarzane będą na podstawie art. 6 ust. 1 lit. c RODO w celu związanym z postępowaniem o udzielenie zamówienia publicznego pn. „</w:t>
      </w:r>
      <w:r w:rsidR="005D310C" w:rsidRPr="008508A2">
        <w:rPr>
          <w:rFonts w:cstheme="minorHAnsi"/>
          <w:b/>
        </w:rPr>
        <w:t xml:space="preserve">zakup i dostawa </w:t>
      </w:r>
      <w:r w:rsidR="005D310C">
        <w:rPr>
          <w:rFonts w:cstheme="minorHAnsi"/>
          <w:b/>
        </w:rPr>
        <w:t xml:space="preserve">sprzętu </w:t>
      </w:r>
      <w:r w:rsidR="005D310C" w:rsidRPr="008508A2">
        <w:rPr>
          <w:rStyle w:val="Teksttreci"/>
          <w:rFonts w:asciiTheme="minorHAnsi" w:hAnsiTheme="minorHAnsi" w:cstheme="minorHAnsi"/>
          <w:b/>
          <w:color w:val="000000"/>
          <w:sz w:val="22"/>
          <w:lang w:eastAsia="pl-PL"/>
        </w:rPr>
        <w:t>wspierającego zabezpieczenie przed COVID-19</w:t>
      </w:r>
      <w:r w:rsidR="005D310C">
        <w:rPr>
          <w:rStyle w:val="Teksttreci"/>
          <w:rFonts w:asciiTheme="minorHAnsi" w:hAnsiTheme="minorHAnsi" w:cstheme="minorHAnsi"/>
          <w:b/>
          <w:color w:val="000000"/>
          <w:sz w:val="22"/>
          <w:lang w:eastAsia="pl-PL"/>
        </w:rPr>
        <w:t xml:space="preserve"> – </w:t>
      </w:r>
      <w:r w:rsidR="004A35B1">
        <w:rPr>
          <w:rStyle w:val="Teksttreci"/>
          <w:rFonts w:asciiTheme="minorHAnsi" w:hAnsiTheme="minorHAnsi" w:cstheme="minorHAnsi"/>
          <w:b/>
          <w:color w:val="000000"/>
          <w:sz w:val="22"/>
          <w:lang w:eastAsia="pl-PL"/>
        </w:rPr>
        <w:t xml:space="preserve">USG – 1 </w:t>
      </w:r>
      <w:proofErr w:type="spellStart"/>
      <w:r w:rsidR="004A35B1">
        <w:rPr>
          <w:rStyle w:val="Teksttreci"/>
          <w:rFonts w:asciiTheme="minorHAnsi" w:hAnsiTheme="minorHAnsi" w:cstheme="minorHAnsi"/>
          <w:b/>
          <w:color w:val="000000"/>
          <w:sz w:val="22"/>
          <w:lang w:eastAsia="pl-PL"/>
        </w:rPr>
        <w:t>kpl</w:t>
      </w:r>
      <w:proofErr w:type="spellEnd"/>
      <w:r w:rsidR="00691518" w:rsidRPr="00B9215D">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lastRenderedPageBreak/>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0652B3" w:rsidRDefault="0023081D" w:rsidP="000652B3">
      <w:pPr>
        <w:pStyle w:val="Akapitzlist"/>
        <w:numPr>
          <w:ilvl w:val="1"/>
          <w:numId w:val="1"/>
        </w:numPr>
        <w:spacing w:after="0"/>
        <w:rPr>
          <w:b/>
          <w:color w:val="000000" w:themeColor="text1"/>
          <w:lang w:bidi="pl-PL"/>
        </w:rPr>
      </w:pPr>
      <w:r w:rsidRPr="000652B3">
        <w:rPr>
          <w:color w:val="000000" w:themeColor="text1"/>
          <w:lang w:bidi="pl-PL"/>
        </w:rPr>
        <w:t>nie przysługuje Pani/Panu:</w:t>
      </w:r>
    </w:p>
    <w:p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w związku z art. 17 ust. 3 lit. b, d lub e RODO prawo do usunięcia danych osobowych;</w:t>
      </w:r>
    </w:p>
    <w:p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prawo do przenoszenia danych osobowych, o którym mowa w art. 20 RODO,</w:t>
      </w:r>
    </w:p>
    <w:p w:rsidR="0023081D" w:rsidRP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0652B3">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 xml:space="preserve">Załącznik nr 6 – </w:t>
      </w:r>
      <w:r w:rsidR="005D310C">
        <w:t xml:space="preserve">projekt </w:t>
      </w:r>
      <w:r>
        <w:t>umowy</w:t>
      </w:r>
    </w:p>
    <w:p w:rsidR="0023081D" w:rsidRDefault="0023081D" w:rsidP="0023081D">
      <w:pPr>
        <w:pStyle w:val="Akapitzlist"/>
        <w:jc w:val="both"/>
      </w:pPr>
    </w:p>
    <w:p w:rsidR="0023081D" w:rsidRDefault="0023081D" w:rsidP="0023081D">
      <w:pPr>
        <w:pStyle w:val="Akapitzlist"/>
        <w:jc w:val="both"/>
      </w:pPr>
    </w:p>
    <w:p w:rsidR="00A45319" w:rsidRDefault="00A45319" w:rsidP="0023081D">
      <w:pPr>
        <w:pStyle w:val="Akapitzlist"/>
        <w:jc w:val="both"/>
      </w:pPr>
    </w:p>
    <w:sectPr w:rsidR="00A4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677063"/>
    <w:multiLevelType w:val="multilevel"/>
    <w:tmpl w:val="CF94EA46"/>
    <w:lvl w:ilvl="0">
      <w:start w:val="35"/>
      <w:numFmt w:val="decimal"/>
      <w:lvlText w:val="%1."/>
      <w:lvlJc w:val="left"/>
      <w:pPr>
        <w:ind w:left="435" w:hanging="435"/>
      </w:pPr>
      <w:rPr>
        <w:rFonts w:hint="default"/>
        <w:b w:val="0"/>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652B3"/>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33A6E"/>
    <w:rsid w:val="0013583F"/>
    <w:rsid w:val="00151E6E"/>
    <w:rsid w:val="00153AB2"/>
    <w:rsid w:val="00162128"/>
    <w:rsid w:val="00162777"/>
    <w:rsid w:val="001649C1"/>
    <w:rsid w:val="00181457"/>
    <w:rsid w:val="00196C69"/>
    <w:rsid w:val="001B6EFF"/>
    <w:rsid w:val="001D0355"/>
    <w:rsid w:val="001D23BF"/>
    <w:rsid w:val="001D4477"/>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6484"/>
    <w:rsid w:val="002801C1"/>
    <w:rsid w:val="00287C3B"/>
    <w:rsid w:val="002C0934"/>
    <w:rsid w:val="002D0E05"/>
    <w:rsid w:val="002E1831"/>
    <w:rsid w:val="002E70D5"/>
    <w:rsid w:val="002E7887"/>
    <w:rsid w:val="002F4E81"/>
    <w:rsid w:val="00302049"/>
    <w:rsid w:val="00303BDB"/>
    <w:rsid w:val="003158DE"/>
    <w:rsid w:val="00315C76"/>
    <w:rsid w:val="003209D9"/>
    <w:rsid w:val="00330966"/>
    <w:rsid w:val="003336F4"/>
    <w:rsid w:val="00350EAD"/>
    <w:rsid w:val="0035519C"/>
    <w:rsid w:val="00357B30"/>
    <w:rsid w:val="00365B45"/>
    <w:rsid w:val="0036637E"/>
    <w:rsid w:val="00374339"/>
    <w:rsid w:val="00386468"/>
    <w:rsid w:val="00392439"/>
    <w:rsid w:val="00394342"/>
    <w:rsid w:val="003E2BCE"/>
    <w:rsid w:val="00425961"/>
    <w:rsid w:val="00444F82"/>
    <w:rsid w:val="00445839"/>
    <w:rsid w:val="0045127F"/>
    <w:rsid w:val="00456C1B"/>
    <w:rsid w:val="0047320F"/>
    <w:rsid w:val="00483BFB"/>
    <w:rsid w:val="004A0860"/>
    <w:rsid w:val="004A35B1"/>
    <w:rsid w:val="004B6E80"/>
    <w:rsid w:val="004B7AC0"/>
    <w:rsid w:val="004D4817"/>
    <w:rsid w:val="004E5A2F"/>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D310C"/>
    <w:rsid w:val="005D5410"/>
    <w:rsid w:val="005E3D16"/>
    <w:rsid w:val="00602B60"/>
    <w:rsid w:val="006114BF"/>
    <w:rsid w:val="00631629"/>
    <w:rsid w:val="00632384"/>
    <w:rsid w:val="0064109D"/>
    <w:rsid w:val="00644E84"/>
    <w:rsid w:val="006529A4"/>
    <w:rsid w:val="0067012C"/>
    <w:rsid w:val="00687CEF"/>
    <w:rsid w:val="00691518"/>
    <w:rsid w:val="006921C7"/>
    <w:rsid w:val="006A366E"/>
    <w:rsid w:val="006A3CEC"/>
    <w:rsid w:val="006B7CC1"/>
    <w:rsid w:val="006C5D12"/>
    <w:rsid w:val="006D2FBB"/>
    <w:rsid w:val="006E19C1"/>
    <w:rsid w:val="006E430C"/>
    <w:rsid w:val="006E74D1"/>
    <w:rsid w:val="006F161C"/>
    <w:rsid w:val="00707C07"/>
    <w:rsid w:val="0071737C"/>
    <w:rsid w:val="00727AD3"/>
    <w:rsid w:val="00735127"/>
    <w:rsid w:val="00773FA1"/>
    <w:rsid w:val="00783734"/>
    <w:rsid w:val="00790DAF"/>
    <w:rsid w:val="007A5177"/>
    <w:rsid w:val="007C4D88"/>
    <w:rsid w:val="007E76E9"/>
    <w:rsid w:val="007F4899"/>
    <w:rsid w:val="00803D56"/>
    <w:rsid w:val="00820647"/>
    <w:rsid w:val="00820F1B"/>
    <w:rsid w:val="008401DD"/>
    <w:rsid w:val="00845335"/>
    <w:rsid w:val="008508A2"/>
    <w:rsid w:val="00884D5E"/>
    <w:rsid w:val="00896E08"/>
    <w:rsid w:val="008A0AAD"/>
    <w:rsid w:val="008A726C"/>
    <w:rsid w:val="008B6F56"/>
    <w:rsid w:val="008D1CF8"/>
    <w:rsid w:val="008F4340"/>
    <w:rsid w:val="008F69E7"/>
    <w:rsid w:val="00905692"/>
    <w:rsid w:val="00915CB0"/>
    <w:rsid w:val="00921944"/>
    <w:rsid w:val="0092774F"/>
    <w:rsid w:val="00934815"/>
    <w:rsid w:val="00941C29"/>
    <w:rsid w:val="00946B65"/>
    <w:rsid w:val="009722A9"/>
    <w:rsid w:val="00972A22"/>
    <w:rsid w:val="00974BBC"/>
    <w:rsid w:val="0097511B"/>
    <w:rsid w:val="00982FE3"/>
    <w:rsid w:val="00993CFB"/>
    <w:rsid w:val="009B610E"/>
    <w:rsid w:val="009E4850"/>
    <w:rsid w:val="009E61FA"/>
    <w:rsid w:val="00A0388B"/>
    <w:rsid w:val="00A06091"/>
    <w:rsid w:val="00A267BD"/>
    <w:rsid w:val="00A310A4"/>
    <w:rsid w:val="00A33BCB"/>
    <w:rsid w:val="00A34330"/>
    <w:rsid w:val="00A45319"/>
    <w:rsid w:val="00A46FBA"/>
    <w:rsid w:val="00A47DCE"/>
    <w:rsid w:val="00A62AAB"/>
    <w:rsid w:val="00A65394"/>
    <w:rsid w:val="00A81A25"/>
    <w:rsid w:val="00A874F7"/>
    <w:rsid w:val="00AA739F"/>
    <w:rsid w:val="00AB4443"/>
    <w:rsid w:val="00AD6DB5"/>
    <w:rsid w:val="00AE10FA"/>
    <w:rsid w:val="00AE3A70"/>
    <w:rsid w:val="00B117F1"/>
    <w:rsid w:val="00B14EAF"/>
    <w:rsid w:val="00B152FC"/>
    <w:rsid w:val="00B203E7"/>
    <w:rsid w:val="00B259EA"/>
    <w:rsid w:val="00B30D94"/>
    <w:rsid w:val="00B5375A"/>
    <w:rsid w:val="00B72823"/>
    <w:rsid w:val="00B7351A"/>
    <w:rsid w:val="00B9215D"/>
    <w:rsid w:val="00B96DA4"/>
    <w:rsid w:val="00BA4F7A"/>
    <w:rsid w:val="00BC3D83"/>
    <w:rsid w:val="00BC5C7D"/>
    <w:rsid w:val="00BD17BE"/>
    <w:rsid w:val="00BD2263"/>
    <w:rsid w:val="00BF238E"/>
    <w:rsid w:val="00BF29F6"/>
    <w:rsid w:val="00BF4172"/>
    <w:rsid w:val="00C01687"/>
    <w:rsid w:val="00C02EF1"/>
    <w:rsid w:val="00C11BBB"/>
    <w:rsid w:val="00C23AF2"/>
    <w:rsid w:val="00C37533"/>
    <w:rsid w:val="00C47277"/>
    <w:rsid w:val="00C524AA"/>
    <w:rsid w:val="00C902DA"/>
    <w:rsid w:val="00C90F3F"/>
    <w:rsid w:val="00CB6DA0"/>
    <w:rsid w:val="00CC2B7A"/>
    <w:rsid w:val="00CD19CB"/>
    <w:rsid w:val="00CE23E3"/>
    <w:rsid w:val="00CE3A6E"/>
    <w:rsid w:val="00CE5906"/>
    <w:rsid w:val="00CF6DD5"/>
    <w:rsid w:val="00D009E3"/>
    <w:rsid w:val="00D025B5"/>
    <w:rsid w:val="00D03599"/>
    <w:rsid w:val="00D04F94"/>
    <w:rsid w:val="00D11232"/>
    <w:rsid w:val="00D272E0"/>
    <w:rsid w:val="00D61B03"/>
    <w:rsid w:val="00D73719"/>
    <w:rsid w:val="00D82129"/>
    <w:rsid w:val="00D83079"/>
    <w:rsid w:val="00D9790B"/>
    <w:rsid w:val="00DB482E"/>
    <w:rsid w:val="00DE6743"/>
    <w:rsid w:val="00DF04C9"/>
    <w:rsid w:val="00DF289F"/>
    <w:rsid w:val="00E00B56"/>
    <w:rsid w:val="00E01DCE"/>
    <w:rsid w:val="00E0232A"/>
    <w:rsid w:val="00E307DB"/>
    <w:rsid w:val="00E35C9E"/>
    <w:rsid w:val="00E45E8E"/>
    <w:rsid w:val="00E55319"/>
    <w:rsid w:val="00E6436D"/>
    <w:rsid w:val="00E83EB3"/>
    <w:rsid w:val="00E926E9"/>
    <w:rsid w:val="00E965F2"/>
    <w:rsid w:val="00EA715C"/>
    <w:rsid w:val="00EB05DE"/>
    <w:rsid w:val="00EC15A4"/>
    <w:rsid w:val="00EC3769"/>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B759B"/>
    <w:rsid w:val="00FC4667"/>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5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50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 w:type="character" w:customStyle="1" w:styleId="Teksttreci">
    <w:name w:val="Tekst treści_"/>
    <w:basedOn w:val="Domylnaczcionkaakapitu"/>
    <w:qFormat/>
    <w:rsid w:val="008508A2"/>
    <w:rPr>
      <w:rFonts w:ascii="Tahoma" w:hAnsi="Tahoma"/>
      <w:b w:val="0"/>
      <w:i w:val="0"/>
      <w:caps w:val="0"/>
      <w:smallCaps w:val="0"/>
      <w:strike w:val="0"/>
      <w:dstrike w:val="0"/>
      <w:sz w:val="15"/>
      <w:u w:val="none"/>
    </w:rPr>
  </w:style>
  <w:style w:type="character" w:customStyle="1" w:styleId="Nagwek3Znak">
    <w:name w:val="Nagłówek 3 Znak"/>
    <w:basedOn w:val="Domylnaczcionkaakapitu"/>
    <w:link w:val="Nagwek3"/>
    <w:uiPriority w:val="9"/>
    <w:rsid w:val="008508A2"/>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9056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858">
      <w:bodyDiv w:val="1"/>
      <w:marLeft w:val="0"/>
      <w:marRight w:val="0"/>
      <w:marTop w:val="0"/>
      <w:marBottom w:val="0"/>
      <w:divBdr>
        <w:top w:val="none" w:sz="0" w:space="0" w:color="auto"/>
        <w:left w:val="none" w:sz="0" w:space="0" w:color="auto"/>
        <w:bottom w:val="none" w:sz="0" w:space="0" w:color="auto"/>
        <w:right w:val="none" w:sz="0" w:space="0" w:color="auto"/>
      </w:divBdr>
    </w:div>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39025416">
      <w:bodyDiv w:val="1"/>
      <w:marLeft w:val="0"/>
      <w:marRight w:val="0"/>
      <w:marTop w:val="0"/>
      <w:marBottom w:val="0"/>
      <w:divBdr>
        <w:top w:val="none" w:sz="0" w:space="0" w:color="auto"/>
        <w:left w:val="none" w:sz="0" w:space="0" w:color="auto"/>
        <w:bottom w:val="none" w:sz="0" w:space="0" w:color="auto"/>
        <w:right w:val="none" w:sz="0" w:space="0" w:color="auto"/>
      </w:divBdr>
    </w:div>
    <w:div w:id="821430675">
      <w:bodyDiv w:val="1"/>
      <w:marLeft w:val="0"/>
      <w:marRight w:val="0"/>
      <w:marTop w:val="0"/>
      <w:marBottom w:val="0"/>
      <w:divBdr>
        <w:top w:val="none" w:sz="0" w:space="0" w:color="auto"/>
        <w:left w:val="none" w:sz="0" w:space="0" w:color="auto"/>
        <w:bottom w:val="none" w:sz="0" w:space="0" w:color="auto"/>
        <w:right w:val="none" w:sz="0" w:space="0" w:color="auto"/>
      </w:divBdr>
    </w:div>
    <w:div w:id="875849426">
      <w:bodyDiv w:val="1"/>
      <w:marLeft w:val="0"/>
      <w:marRight w:val="0"/>
      <w:marTop w:val="0"/>
      <w:marBottom w:val="0"/>
      <w:divBdr>
        <w:top w:val="none" w:sz="0" w:space="0" w:color="auto"/>
        <w:left w:val="none" w:sz="0" w:space="0" w:color="auto"/>
        <w:bottom w:val="none" w:sz="0" w:space="0" w:color="auto"/>
        <w:right w:val="none" w:sz="0" w:space="0" w:color="auto"/>
      </w:divBdr>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ortalzp.pl/kody-cpv/szczegoly/aparaty-ultrasonograficzne-2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2173-0AE9-4F34-85B7-7D9F6816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5353</Words>
  <Characters>32124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9</cp:revision>
  <cp:lastPrinted>2020-10-12T10:44:00Z</cp:lastPrinted>
  <dcterms:created xsi:type="dcterms:W3CDTF">2020-10-12T08:59:00Z</dcterms:created>
  <dcterms:modified xsi:type="dcterms:W3CDTF">2020-10-12T12:48:00Z</dcterms:modified>
</cp:coreProperties>
</file>